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CC0000"/>
          <w:spacing w:val="0"/>
          <w:sz w:val="21"/>
          <w:szCs w:val="21"/>
        </w:rPr>
      </w:pPr>
      <w:bookmarkStart w:id="1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CC0000"/>
          <w:spacing w:val="0"/>
          <w:sz w:val="21"/>
          <w:szCs w:val="21"/>
          <w:bdr w:val="none" w:color="auto" w:sz="0" w:space="0"/>
        </w:rPr>
        <w:t>人文与社会发展学院2016-2017学年综合测评附加分管理办法</w:t>
      </w:r>
    </w:p>
    <w:bookmarkEnd w:id="1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为加强学院学风建设，进一步贯彻落实学生工作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“立德树人，勤学敦行”的指导思想，将思想引领和服务青年成长成才作为根本任务，培养德、智、体全面发展的高素质人才，根据《南京农业大学学生综合测评办法》相关规定，制定以下管理办法。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一、加分管理办法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1．科技创新类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①有重大科研发明者（得到相关部门或专家认可）,加0.6分；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在大学生课外科技竞赛（含大学生“挑战杯”、创业计划大赛及英语、数学、计算机等方面的竞赛）中，获国家级一等奖计0.6分、二等奖计0.5分、三等奖计0.4分；获省级一等奖计0.5分、二等奖计0.4分、三等奖计0.3分；获校级一等奖计0.3分、二等奖计0.2分、三等奖计0.1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同类获奖不兼得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，取高分值一项；特等奖按照一等奖计分，下同。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③在学校认定的核心期刊（《南京农业大学人文社科核心期刊目录》、《南京农业大学自然科学核心期刊目录》）上发表与本专业相关论文，独立或第一作者0.6分/篇，第二作者0.5分/篇，第三作者及以下计0.3分/篇；非核心期刊（不含增刊、特刊、专刊、论文集）发表与本专业相关论文，独立作者或第一作者计0.2分/篇，第二作者计0.1分/篇，第三作者及以下不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论文发表时间的最后期限为2016年8月31日，即必须在此之前正式发表的论文才纳入到奖励范围，不包括用稿通知。非核心期刊发表的论文，最多择优认定2篇。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2．社会实践优秀类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①社会活动、社会实践和志愿服务。获省级及以上先进个人、优秀志愿者或优秀社会实践论文计0.4分，获校（市、厅级）先进个人、优秀志愿者或优秀社会实践论文计0.2分。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②参与志愿服务工作达10次及以上者，加0.2分。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③担任学校或学院学生会、校社联、院分党校、院团委等部门主席团成员，计0.4分；担任学校或学院学生会、校社联、院分党校、院团委等部门部长和班级班长、团支书等学生干部，计0.3分。担任学校或学院学生会、校社联、院分党校、院团委等部门副部长和班级班委成员等学生干部，计0.1分（以上任职需任满一届，且获得学院认可，取最高分值一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3．文化艺术类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在各类文体比赛中，获省部级及以上部门一等奖（或第一名）计0.6分、二等奖（或第二名）计0.4分、三等奖（或第三名）计0.3分；获校级一等奖（或第一名）计0.3分、二等奖（或第二名）计0.2分、三等奖（或第三名）计0.1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②在国家级、省级、市级、校级媒体上以第一责任人的身份发表文章或提供新闻素材(字数≧800字)并被采纳，酌情加0.6-0.1分。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5．单科优秀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①国家外语统考中四级达604分，或CET6级426分及以上，或托福80分及以上，或GRE1200分及以上，或雅思6分及以上，计算机三级通过者，加0.1分。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②代表学校参加各类单科知识竞赛，并获得较好名次者（国家级前8名，省级前5名，市级前3名），加0.2分。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二、扣分管理办法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①上一学年内受学校严重警告及以上处分者，或《院风建设通报》通报次数达8次及以上者，综合测评扣0.6分；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②上一学年内在《院风建设通报》通报次数达2次以上7次以下者，酌情扣0.1-0.5分。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三、附加分实施办法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1.各项附加分仅限于该学年的奖励及违纪行为；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2.加分、扣分最高值均为0.6分；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2.凡是获得教务处奖励学分的项目，不得重复申请综合测评附加分；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3．凡受到校纪处分者一年内取消评奖资格。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四、本办法由人文与社会发展学院学生办负责解释。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32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五、本办法自2016年9月20日起实施。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33460"/>
    <w:rsid w:val="72833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2017-09-21T05:28:00Z</dcterms:created>
  <dc:creator>admin</dc:creator>
  <cp:lastModifiedBy>admin</cp:lastModifiedBy>
  <dcterms:modified xsi:type="dcterms:W3CDTF">2017-09-21T05:28:44Z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